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>
      <w:pPr>
        <w:spacing w:before="120" w:after="120" w:line="240" w:lineRule="auto"/>
        <w:jc w:val="both"/>
        <w:rPr>
          <w:rFonts w:ascii="Arial" w:hAnsi="Arial"/>
          <w:sz w:val="20"/>
        </w:rPr>
      </w:pPr>
    </w:p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Marianne" w:hAnsi="Marianne" w:cs="DejaVu Sans"/>
          <w:b/>
          <w:bCs/>
          <w:noProof/>
          <w:color w:val="1F497D"/>
        </w:rPr>
        <w:drawing>
          <wp:inline distT="0" distB="0" distL="0" distR="0">
            <wp:extent cx="2171700" cy="866775"/>
            <wp:effectExtent l="0" t="0" r="0" b="9525"/>
            <wp:docPr id="2" name="Image 2" descr="202005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202005_S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SECRETARIAT GENERAL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Service des achats et des finances 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Sous-direction de la gestion financière et des achats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Bureau </w:t>
      </w:r>
      <w:bookmarkStart w:id="0" w:name="Bur"/>
      <w:bookmarkEnd w:id="0"/>
      <w:r>
        <w:rPr>
          <w:rFonts w:ascii="Arial" w:hAnsi="Arial"/>
          <w:b/>
          <w:sz w:val="20"/>
        </w:rPr>
        <w:t>des achats mutualisés d’administration centrale</w:t>
      </w: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139 rue de Bercy – Paris 12</w:t>
      </w:r>
      <w:r>
        <w:rPr>
          <w:rFonts w:ascii="Arial" w:hAnsi="Arial"/>
          <w:b/>
          <w:sz w:val="20"/>
          <w:vertAlign w:val="superscript"/>
          <w:lang w:eastAsia="fr-FR"/>
        </w:rPr>
        <w:t>ème</w:t>
      </w: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Fourniture et livraison de denrées alimentaires pour l’Hôtel des ministres, le restaurant de direction Le Cercle </w:t>
      </w:r>
      <w:bookmarkStart w:id="1" w:name="_Hlk222473790"/>
      <w:r>
        <w:rPr>
          <w:rFonts w:ascii="Arial" w:eastAsia="Times New Roman" w:hAnsi="Arial" w:cs="Arial"/>
          <w:b/>
          <w:sz w:val="28"/>
          <w:szCs w:val="28"/>
          <w:lang w:eastAsia="fr-FR"/>
        </w:rPr>
        <w:t>et le centre de conférences Pierre Mendès France</w:t>
      </w:r>
      <w:bookmarkEnd w:id="1"/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des ministères économiques et financiers (MEF)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MEMOIRE TECHNIQUE – CADRE DE REPONSE</w:t>
      </w: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>
      <w:pPr>
        <w:spacing w:after="120"/>
        <w:jc w:val="center"/>
        <w:rPr>
          <w:rFonts w:ascii="Arial" w:hAnsi="Arial" w:cs="Arial"/>
          <w:b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color w:val="0070C0"/>
          <w:sz w:val="28"/>
          <w:szCs w:val="28"/>
          <w:u w:val="single"/>
        </w:rPr>
        <w:t>LOT 4 – PRODUITS DE LA MER</w:t>
      </w:r>
    </w:p>
    <w:p>
      <w:pPr>
        <w:spacing w:after="120"/>
        <w:jc w:val="center"/>
        <w:rPr>
          <w:rFonts w:ascii="Arial" w:hAnsi="Arial" w:cs="Arial"/>
          <w:i/>
          <w:iCs/>
          <w:color w:val="002060"/>
          <w:sz w:val="20"/>
          <w:szCs w:val="20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présent document doit être obligatoirement rempli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et ne pas dépasser 10 pages hors annexes.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Les annexes ne doivent pas dépasser 20 pages.</w:t>
      </w: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Numéro de consultation : BAMAC-2026-352-alimentaire</w:t>
      </w:r>
    </w:p>
    <w:p>
      <w:pPr>
        <w:spacing w:before="120" w:after="120" w:line="240" w:lineRule="auto"/>
        <w:jc w:val="both"/>
        <w:rPr>
          <w:rFonts w:ascii="Arial" w:hAnsi="Arial"/>
          <w:sz w:val="18"/>
          <w:szCs w:val="18"/>
          <w:lang w:eastAsia="fr-FR"/>
        </w:rPr>
      </w:pPr>
      <w:r>
        <w:rPr>
          <w:rFonts w:ascii="Arial" w:hAnsi="Arial"/>
          <w:sz w:val="18"/>
          <w:szCs w:val="18"/>
          <w:lang w:eastAsia="fr-FR"/>
        </w:rPr>
        <w:t>Procédure de passation : Appel d’offres ouvert</w:t>
      </w:r>
    </w:p>
    <w:p>
      <w:pPr>
        <w:pStyle w:val="Standarduser"/>
        <w:spacing w:after="0"/>
        <w:rPr>
          <w:rFonts w:ascii="Arial" w:hAnsi="Arial" w:cs="Arial"/>
          <w:b/>
          <w:sz w:val="20"/>
          <w:szCs w:val="20"/>
        </w:rPr>
      </w:pPr>
    </w:p>
    <w:p>
      <w:pPr>
        <w:pStyle w:val="Standarduser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Identification de l’entreprise </w:t>
      </w:r>
      <w:r>
        <w:rPr>
          <w:rFonts w:ascii="Arial" w:hAnsi="Arial" w:cs="Arial"/>
          <w:bCs/>
          <w:i/>
          <w:iCs/>
          <w:sz w:val="18"/>
          <w:szCs w:val="18"/>
        </w:rPr>
        <w:t>(nom du soumissionnaire obligatoire)</w:t>
      </w:r>
      <w:r>
        <w:rPr>
          <w:rFonts w:ascii="Arial" w:hAnsi="Arial" w:cs="Arial"/>
          <w:b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 xml:space="preserve"> </w:t>
      </w:r>
    </w:p>
    <w:p>
      <w:pPr>
        <w:pStyle w:val="Standarduser"/>
        <w:spacing w:after="0"/>
        <w:rPr>
          <w:rFonts w:ascii="Arial" w:eastAsia="Segoe UI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Adresse courriel à indiquer </w:t>
      </w:r>
      <w:r>
        <w:rPr>
          <w:rFonts w:ascii="Arial" w:hAnsi="Arial" w:cs="Arial"/>
          <w:bCs/>
          <w:i/>
          <w:iCs/>
          <w:sz w:val="18"/>
          <w:szCs w:val="18"/>
        </w:rPr>
        <w:t>(obligatoire)</w:t>
      </w:r>
      <w:r>
        <w:rPr>
          <w:rFonts w:ascii="Arial" w:hAnsi="Arial" w:cs="Arial"/>
          <w:b/>
          <w:sz w:val="20"/>
          <w:szCs w:val="20"/>
        </w:rPr>
        <w:t xml:space="preserve"> :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Pour information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- Critère n°1 : Prix</w:t>
      </w:r>
      <w:r>
        <w:rPr>
          <w:rFonts w:ascii="Arial" w:hAnsi="Arial" w:cs="Arial"/>
          <w:iCs/>
        </w:rPr>
        <w:t xml:space="preserve"> (35%)</w:t>
      </w:r>
    </w:p>
    <w:p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Les prix sont jugés à partir d’une simulation de commande (cf. panier-type de commande).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 n°2 : Qualité des échantillons </w:t>
      </w:r>
      <w:r>
        <w:rPr>
          <w:rFonts w:ascii="Arial" w:hAnsi="Arial" w:cs="Arial"/>
          <w:iCs/>
        </w:rPr>
        <w:t>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>La qualité des échantillons est testée par un jury.</w:t>
      </w:r>
    </w:p>
    <w:p>
      <w:pPr>
        <w:spacing w:before="120" w:after="120"/>
        <w:jc w:val="both"/>
        <w:rPr>
          <w:rFonts w:ascii="Arial" w:hAnsi="Arial" w:cs="Arial"/>
          <w:b/>
          <w:bCs/>
          <w:iCs/>
          <w:u w:val="single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A compléter par le candidat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critères n°3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et n°4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 : </w:t>
      </w:r>
      <w:r>
        <w:rPr>
          <w:rFonts w:ascii="Arial" w:hAnsi="Arial" w:cs="Arial"/>
          <w:i/>
        </w:rPr>
        <w:t>voir ci-après.</w:t>
      </w: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Critère n°3 : Modalités d’organisation et de suivi des prestations </w:t>
      </w: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>mis en œuvre 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bookmarkStart w:id="2" w:name="_Hlk190097711"/>
            <w:r>
              <w:rPr>
                <w:rFonts w:ascii="Arial" w:eastAsia="Times New Roman" w:hAnsi="Arial" w:cs="Arial"/>
                <w:b/>
              </w:rPr>
              <w:t>Description des modalités de prise de commande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mises en place par le candidat :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prise de commande par téléphone, par mail, via un site, ou une application,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jours de la semaine et créneaux horaires pour passer les commandes.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  <w:r>
              <w:rPr>
                <w:rFonts w:ascii="Arial" w:eastAsia="Times New Roman" w:hAnsi="Arial" w:cs="Arial"/>
                <w:color w:val="0070C0"/>
              </w:rPr>
              <w:t xml:space="preserve"> 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</w:p>
        </w:tc>
      </w:tr>
      <w:bookmarkEnd w:id="2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Description des matériels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véhicules utilisés,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dimensions et tonnages des véhicules,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indication par le candidat s’il fait appel à un transporteur ou aux chauffeurs-livreurs de l’entreprise.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3" w:name="_Hlk218062702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logistiques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modalités de stockage des produits et gestion des stocks,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gestion des retours,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gestion des contenants réutilisables par tout moyen permettant d’identifier le fournisseur propriétaire du contenant,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étiquetage des produits,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préparation des commandes,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hAnsi="Arial" w:cs="Arial"/>
                <w:iCs/>
              </w:rPr>
              <w:t>- outils informatiques utilisés.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3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4" w:name="_Hlk216878308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humains de l’entreprise affectés à l’exécution des prestations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description des fonctions des personnes dédiées à ce marché,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personnes dédiées,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formation suivies.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4"/>
    </w:tbl>
    <w:p>
      <w:pPr>
        <w:spacing w:before="120" w:after="120"/>
        <w:ind w:firstLine="708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b/>
              </w:rPr>
              <w:t>Description des modalités de facturation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proposées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</w:rPr>
              <w:t xml:space="preserve">Description relative à la sécurisation des approvisionnements </w:t>
            </w:r>
            <w:r>
              <w:rPr>
                <w:rFonts w:ascii="Arial" w:eastAsia="Times New Roman" w:hAnsi="Arial" w:cs="Arial"/>
                <w:b/>
                <w:bCs/>
              </w:rPr>
              <w:t>proposée par le candidat</w:t>
            </w:r>
          </w:p>
          <w:p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description des mesures de gestion des risques mises en œuvre pour l’exécution du marché en cas de rupture d’approvisionnement ou de pénurie totale ou partielle de matières premières,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 w:cs="Arial"/>
                <w:lang w:eastAsia="en-US"/>
              </w:rPr>
              <w:t>- description de l’organisation mise en place afin de garantir la sécurité et la continuité des approvisionnements en denrées.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Poissons nourris sans OGM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- indication de la part estimative (en pourcentage) de poissons nourris sans OGM sur le volume de poissons vendus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tabs>
          <w:tab w:val="left" w:pos="3682"/>
        </w:tabs>
        <w:spacing w:after="0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ab/>
      </w: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 xml:space="preserve">Critère n°4 - Mesures environnementales mises en œuvre </w:t>
      </w:r>
    </w:p>
    <w:p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>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bookmarkStart w:id="5" w:name="_Hlk218001143"/>
            <w:r>
              <w:rPr>
                <w:rFonts w:ascii="Arial" w:hAnsi="Arial" w:cs="Arial"/>
                <w:b/>
                <w:bCs/>
                <w:iCs/>
              </w:rPr>
              <w:t xml:space="preserve">Valorisation du circuit court  </w:t>
            </w:r>
          </w:p>
          <w:p>
            <w:pPr>
              <w:spacing w:before="120" w:after="1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nombre d’intermédiaire(s) entre le premier metteur en marché (pêcheur) et l’acheteur (client final) : 1, 2, 3 et plus ?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5"/>
    </w:tbl>
    <w:p>
      <w:pPr>
        <w:spacing w:before="120" w:after="12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Lutte contre le gaspillage alimentaire </w:t>
            </w:r>
          </w:p>
          <w:p>
            <w:pPr>
              <w:pStyle w:val="Commentair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description de la démarche mise en œuvre pour lutter contre le gaspillage (ex : plan de lutte mis en œuvre, partenariat mis en place, résultats atteints, pourcentage de gaspillage, labellisation anti-gaspillage…).</w:t>
            </w:r>
          </w:p>
          <w:p>
            <w:pPr>
              <w:pStyle w:val="Commentaire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Emballage et conditionnement des produits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indication si utilisation de matériaux recyclés,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pratiques mises en œuvre concernant la réduction des emballages,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</w:rPr>
              <w:t>- modalités mises en œuvre dans la récupération des emballages lors de la livraison.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b/>
        </w:rPr>
      </w:pPr>
    </w:p>
    <w:sectPr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9433783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sur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1F3"/>
    <w:multiLevelType w:val="hybridMultilevel"/>
    <w:tmpl w:val="23EC82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1262"/>
    <w:multiLevelType w:val="hybridMultilevel"/>
    <w:tmpl w:val="79948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D66FD"/>
    <w:multiLevelType w:val="hybridMultilevel"/>
    <w:tmpl w:val="E092FFD6"/>
    <w:lvl w:ilvl="0" w:tplc="E31A0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76D66"/>
    <w:multiLevelType w:val="hybridMultilevel"/>
    <w:tmpl w:val="4322EE5C"/>
    <w:lvl w:ilvl="0" w:tplc="CB46E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7298B-187A-4A2A-AF7C-D1E10902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pPr>
      <w:spacing w:before="57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Rapports">
    <w:name w:val="m-Rapports"/>
    <w:basedOn w:val="Normal"/>
    <w:pPr>
      <w:suppressAutoHyphens/>
      <w:autoSpaceDN w:val="0"/>
      <w:spacing w:after="200" w:line="276" w:lineRule="auto"/>
      <w:ind w:left="1984"/>
    </w:pPr>
    <w:rPr>
      <w:rFonts w:ascii="Liberation Sans" w:eastAsia="Liberation Sans" w:hAnsi="Liberation Sans" w:cs="Liberation Sans"/>
      <w:b/>
      <w:kern w:val="3"/>
      <w:sz w:val="36"/>
      <w:szCs w:val="20"/>
      <w:lang w:eastAsia="fr-FR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307A.9C61F3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622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GIGOT Sonia</dc:creator>
  <cp:keywords/>
  <dc:description/>
  <cp:lastModifiedBy>DHEILLY Nathalie</cp:lastModifiedBy>
  <cp:revision>36</cp:revision>
  <cp:lastPrinted>2025-04-24T09:02:00Z</cp:lastPrinted>
  <dcterms:created xsi:type="dcterms:W3CDTF">2026-02-20T09:21:00Z</dcterms:created>
  <dcterms:modified xsi:type="dcterms:W3CDTF">2026-05-28T08:37:00Z</dcterms:modified>
</cp:coreProperties>
</file>